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7"/>
        <w:numPr>
          <w:ilvl w:val="0"/>
          <w:numId w:val="0"/>
        </w:numPr>
        <w:jc w:val="left"/>
        <w:spacing w:lineRule="atLeast" w:line="600" w:before="280" w:beforeAutospacing="1" w:afterAutospacing="1" w:after="280"/>
        <w:ind w:right="0" w:firstLine="0"/>
        <w:rPr>
          <w:b w:val="1"/>
          <w:color w:val="000000"/>
          <w:position w:val="0"/>
          <w:sz w:val="24"/>
          <w:szCs w:val="24"/>
          <w:rFonts w:ascii="仿宋" w:eastAsia="Times New Roman" w:hAnsi="Times New Roman" w:hint="default"/>
        </w:rPr>
        <w:outlineLvl w:val="0"/>
        <w:autoSpaceDE w:val="1"/>
        <w:autoSpaceDN w:val="1"/>
      </w:pPr>
      <w:r>
        <w:rPr>
          <w:b w:val="1"/>
          <w:color w:val="000000"/>
          <w:position w:val="0"/>
          <w:sz w:val="24"/>
          <w:szCs w:val="24"/>
          <w:rFonts w:ascii="仿宋" w:eastAsia="仿宋" w:hAnsi="仿宋" w:hint="default"/>
        </w:rPr>
        <w:t>烟台大学文经学院2018年“创青春”全国大学生创业大赛推报答辩工作通知</w:t>
      </w:r>
    </w:p>
    <w:p>
      <w:pPr>
        <w:numPr>
          <w:ilvl w:val="0"/>
          <w:numId w:val="0"/>
        </w:numPr>
        <w:jc w:val="left"/>
        <w:spacing w:lineRule="atLeast" w:line="432" w:before="0" w:after="0"/>
        <w:ind w:right="0" w:firstLine="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各系团总支：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 xml:space="preserve"> 2018年烟台大学文经学院“创青春”·全国大学生创业大赛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院级推报及答辩工作将于近期举办，具体通知如下：</w:t>
      </w:r>
    </w:p>
    <w:p>
      <w:pPr>
        <w:numPr>
          <w:ilvl w:val="0"/>
          <w:numId w:val="0"/>
        </w:numPr>
        <w:jc w:val="both"/>
        <w:spacing w:lineRule="atLeast" w:line="432" w:before="157" w:after="63"/>
        <w:ind w:right="0" w:firstLine="0"/>
        <w:rPr>
          <w:spacing w:val="0"/>
          <w:b w:val="1"/>
          <w:color w:val="555555"/>
          <w:position w:val="0"/>
          <w:sz w:val="28"/>
          <w:szCs w:val="28"/>
          <w:smallCaps w:val="0"/>
          <w:rFonts w:ascii="仿宋" w:eastAsia="仿宋" w:hAnsi="仿宋" w:hint="default"/>
        </w:rPr>
        <w:autoSpaceDE w:val="1"/>
        <w:autoSpaceDN w:val="1"/>
      </w:pPr>
      <w:r>
        <w:rPr>
          <w:spacing w:val="0"/>
          <w:b w:val="1"/>
          <w:color w:val="555555"/>
          <w:position w:val="0"/>
          <w:sz w:val="28"/>
          <w:szCs w:val="28"/>
          <w:smallCaps w:val="0"/>
          <w:rFonts w:ascii="仿宋" w:eastAsia="仿宋" w:hAnsi="仿宋" w:hint="default"/>
        </w:rPr>
        <w:t>一、作品申报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参与项目：各参赛作品须在3月25日（周日）前完成竞赛作品的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最终修改完善，逾期将取消比赛资格。</w:t>
      </w:r>
    </w:p>
    <w:p>
      <w:pPr>
        <w:numPr>
          <w:ilvl w:val="0"/>
          <w:numId w:val="0"/>
        </w:numPr>
        <w:jc w:val="both"/>
        <w:spacing w:lineRule="atLeast" w:line="432" w:before="157" w:after="63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555555"/>
          <w:position w:val="0"/>
          <w:sz w:val="28"/>
          <w:szCs w:val="28"/>
          <w:u w:val="none"/>
          <w:smallCaps w:val="0"/>
          <w:rFonts w:ascii="仿宋" w:eastAsia="仿宋" w:hAnsi="仿宋" w:hint="default"/>
        </w:rPr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555555"/>
          <w:position w:val="0"/>
          <w:sz w:val="28"/>
          <w:szCs w:val="28"/>
          <w:u w:val="none"/>
          <w:smallCaps w:val="0"/>
          <w:rFonts w:ascii="仿宋" w:eastAsia="仿宋" w:hAnsi="仿宋" w:hint="default"/>
        </w:rPr>
        <w:t>二、评审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（一）评审流程：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1、确定终审答辩项目：依据各系团总支的评审结果以及名次，确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定出部分决赛项目进入终审答辩。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2、院级奖项：根据各团队答辩及参赛情况评选出部分院级奖项。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3、推报省赛：院团委会将院级答辩优秀项目择优推报省赛。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（二）决赛评分标准：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依据《“创青春”全国大学生创业大赛章程》，本次决赛的三项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主体赛事评审打分采用百分制，由网络评审和现场答辩两项分数组成。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创业计划竞赛：各系团总支评审得分占40%、现场答辩得分占60%。已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创业项目由评委会视实际运营情况，在其实得总分基础上给予1%至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5%的加分。创业实践挑战赛：各系团总支评审得分占20%、现场答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辩得分占80%。公益创业赛：各系团总支评审得分占40%、现场答辩得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分占60%。</w:t>
      </w:r>
    </w:p>
    <w:p>
      <w:pPr>
        <w:numPr>
          <w:ilvl w:val="0"/>
          <w:numId w:val="0"/>
        </w:numPr>
        <w:jc w:val="both"/>
        <w:spacing w:lineRule="atLeast" w:line="432" w:before="157" w:after="63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555555"/>
          <w:position w:val="0"/>
          <w:sz w:val="28"/>
          <w:szCs w:val="28"/>
          <w:u w:val="none"/>
          <w:smallCaps w:val="0"/>
          <w:rFonts w:ascii="仿宋" w:eastAsia="仿宋" w:hAnsi="仿宋" w:hint="default"/>
        </w:rPr>
        <w:autoSpaceDE w:val="1"/>
        <w:autoSpaceDN w:val="1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555555"/>
          <w:position w:val="0"/>
          <w:sz w:val="28"/>
          <w:szCs w:val="28"/>
          <w:u w:val="none"/>
          <w:smallCaps w:val="0"/>
          <w:rFonts w:ascii="仿宋" w:eastAsia="仿宋" w:hAnsi="仿宋" w:hint="default"/>
        </w:rPr>
        <w:t>三、终审答辩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（一）答辩重点要求：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555555"/>
          <w:position w:val="0"/>
          <w:sz w:val="28"/>
          <w:szCs w:val="28"/>
          <w:rFonts w:ascii="仿宋" w:eastAsia="仿宋" w:hAnsi="仿宋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答辩内容须重点注意陈述环节、答辩环节和团队表现三大方面。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具体项目要求详见下表：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</w:p>
    <w:tbl>
      <w:tblID w:val="0"/>
      <w:tblPr>
        <w:tblCellMar>
          <w:left w:w="15" w:type="dxa"/>
          <w:top w:w="15" w:type="dxa"/>
          <w:right w:w="15" w:type="dxa"/>
          <w:bottom w:w="15" w:type="dxa"/>
        </w:tblCellMar>
        <w:tblW w:w="7890" w:type="dxa"/>
        <w:tblInd w:w="-13" w:type="dxa"/>
        <w:tblLook w:val="0000A0" w:firstRow="1" w:lastRow="0" w:firstColumn="1" w:lastColumn="0" w:noHBand="0" w:noVBand="0"/>
        <w:tblLayout w:type="fixed"/>
      </w:tblPr>
      <w:tblGrid>
        <w:gridCol w:w="2760"/>
        <w:gridCol w:w="5130"/>
      </w:tblGrid>
      <w:tr>
        <w:trPr>
          <w:trHeight w:hRule="atleast" w:val="512"/>
          <w:hidden w:val="0"/>
        </w:trPr>
        <w:tc>
          <w:tcPr>
            <w:tcW w:type="dxa" w:w="276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环节</w:t>
            </w:r>
          </w:p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项目</w:t>
            </w:r>
          </w:p>
        </w:tc>
      </w:tr>
      <w:tr>
        <w:trPr>
          <w:hidden w:val="0"/>
        </w:trPr>
        <w:tc>
          <w:tcPr>
            <w:tcW w:type="dxa" w:w="2760"/>
            <w:tcMar>
              <w:left w:w="108" w:type="dxa"/>
              <w:right w:w="108" w:type="dxa"/>
              <w:top w:w="0" w:type="dxa"/>
              <w:bottom w:w="0" w:type="dxa"/>
            </w:tcMar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陈述环节</w:t>
            </w:r>
          </w:p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产品/服务介绍和市场分析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公司战略及营销战略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团队能力和经营管理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企业经济/财务状况</w:t>
            </w:r>
            <w:r>
              <w:rPr>
                <w:color w:val="auto"/>
                <w:position w:val="0"/>
                <w:sz w:val="24"/>
                <w:szCs w:val="24"/>
                <w:rFonts w:ascii="仿宋" w:eastAsia="Times New Roman" w:hAnsi="Times New Roman" w:hint="default"/>
              </w:rPr>
              <w:t> 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融资方案和回报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关键的风险及问题的分析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陈述时间控制</w:t>
            </w:r>
          </w:p>
        </w:tc>
      </w:tr>
      <w:tr>
        <w:trPr>
          <w:hidden w:val="0"/>
        </w:trPr>
        <w:tc>
          <w:tcPr>
            <w:tcW w:type="dxa" w:w="2760"/>
            <w:tcMar>
              <w:left w:w="108" w:type="dxa"/>
              <w:right w:w="108" w:type="dxa"/>
              <w:top w:w="0" w:type="dxa"/>
              <w:bottom w:w="0" w:type="dxa"/>
            </w:tcMar>
            <w:vAlign w:val="center"/>
            <w:vMerge w:val="restart"/>
            <w:tcBorders>
              <w:bottom w:val="single" w:color="auto" w:sz="4"/>
              <w:left w:val="single" w:color="auto" w:sz="8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答辩环节</w:t>
            </w:r>
          </w:p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正确理解评委问题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4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及时流畅地回答问题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4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4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回答准确可信</w:t>
            </w:r>
          </w:p>
        </w:tc>
      </w:tr>
      <w:tr>
        <w:trPr>
          <w:trHeight w:hRule="atleast" w:val="824"/>
          <w:hidden w:val="0"/>
        </w:trPr>
        <w:tc>
          <w:tcPr>
            <w:tcW w:type="dxa" w:w="2760"/>
            <w:tcMar>
              <w:left w:w="108" w:type="dxa"/>
              <w:right w:w="108" w:type="dxa"/>
              <w:top w:w="0" w:type="dxa"/>
              <w:bottom w:w="0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autoSpaceDE w:val="1"/>
              <w:autoSpaceDN w:val="1"/>
            </w:pPr>
          </w:p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并对评委感兴趣的问题能作充分的阐述</w:t>
            </w:r>
          </w:p>
        </w:tc>
      </w:tr>
      <w:tr>
        <w:trPr>
          <w:hidden w:val="0"/>
        </w:trPr>
        <w:tc>
          <w:tcPr>
            <w:tcW w:type="dxa" w:w="2760"/>
            <w:tcMar>
              <w:left w:w="108" w:type="dxa"/>
              <w:right w:w="108" w:type="dxa"/>
              <w:top w:w="0" w:type="dxa"/>
              <w:bottom w:w="0" w:type="dxa"/>
            </w:tcMar>
            <w:vAlign w:val="center"/>
            <w:vMerge w:val="restart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团队表现</w:t>
            </w:r>
          </w:p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整体答辩逻辑严谨且思路清晰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团队成员协作完成</w:t>
            </w:r>
          </w:p>
        </w:tc>
      </w:tr>
      <w:tr>
        <w:trPr>
          <w:hidden w:val="0"/>
        </w:trPr>
        <w:tc>
          <w:tcPr>
            <w:tcW w:type="dxa" w:w="2760"/>
            <w:vAlign w:val="center"/>
            <w:vMerge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</w:tcPr>
          <w:p/>
        </w:tc>
        <w:tc>
          <w:tcPr>
            <w:tcW w:type="dxa" w:w="5130"/>
            <w:tcMar>
              <w:left w:w="108" w:type="dxa"/>
              <w:right w:w="108" w:type="dxa"/>
              <w:top w:w="0" w:type="dxa"/>
              <w:bottom w:w="0" w:type="dxa"/>
            </w:tcMar>
            <w:vAlign w:val="top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100" w:after="10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仿宋" w:eastAsia="仿宋" w:hAnsi="仿宋" w:hint="default"/>
              </w:rPr>
              <w:t>在规定时间内完成</w:t>
            </w:r>
          </w:p>
        </w:tc>
      </w:tr>
    </w:tbl>
    <w:p>
      <w:pPr>
        <w:numPr>
          <w:ilvl w:val="0"/>
          <w:numId w:val="0"/>
        </w:numPr>
        <w:jc w:val="left"/>
        <w:spacing w:lineRule="atLeast" w:line="432" w:before="100" w:after="100"/>
        <w:ind w:right="0" w:firstLine="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（二）答辩具体要求：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1、答辩时间：4月初（具体时间另行通知）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2、答辩时限：每个项目限时5分钟，评委问辩环节限时3分钟。提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倡项目展示形式多样（PPT、视频、实物等）。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3、答辩顺序：确定终审答辩项目名单后，答辩前抽签决定顺序。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4、答辩形式：形式自定，采取一名成员主答辩、其他成员辅助的形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式或多名成员分工答辩等形式皆可。每个项目团队最多限3名成员进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入答辩现场。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5、其他具体未尽事宜，院团委将提前通过网站公告和群通知等途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径及时进行公布。</w:t>
      </w:r>
    </w:p>
    <w:p>
      <w:pPr>
        <w:numPr>
          <w:ilvl w:val="0"/>
          <w:numId w:val="0"/>
        </w:numPr>
        <w:jc w:val="both"/>
        <w:spacing w:lineRule="atLeast" w:line="432" w:before="0" w:after="0"/>
        <w:ind w:right="0" w:firstLine="560"/>
        <w:rPr>
          <w:color w:val="555555"/>
          <w:position w:val="0"/>
          <w:sz w:val="28"/>
          <w:szCs w:val="28"/>
          <w:rFonts w:ascii="仿宋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Times New Roman" w:hAnsi="Times New Roman" w:hint="default"/>
        </w:rPr>
        <w:t> 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联系人：徐楠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555555"/>
          <w:position w:val="0"/>
          <w:sz w:val="28"/>
          <w:szCs w:val="28"/>
          <w:rFonts w:ascii="仿宋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 xml:space="preserve">      联系电话：（0535）6915043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555555"/>
          <w:position w:val="0"/>
          <w:sz w:val="28"/>
          <w:szCs w:val="28"/>
          <w:rFonts w:ascii="仿宋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 xml:space="preserve">                        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5320" w:hanging="5320"/>
        <w:rPr>
          <w:color w:val="555555"/>
          <w:position w:val="0"/>
          <w:sz w:val="28"/>
          <w:szCs w:val="28"/>
          <w:rFonts w:ascii="仿宋" w:eastAsia="Times New Roman" w:hAnsi="Times New Roman" w:hint="default"/>
        </w:rPr>
        <w:autoSpaceDE w:val="1"/>
        <w:autoSpaceDN w:val="1"/>
      </w:pP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 xml:space="preserve">                               共青团烟台大学文经学院委员会                                                          </w:t>
      </w:r>
      <w:r>
        <w:rPr>
          <w:color w:val="555555"/>
          <w:position w:val="0"/>
          <w:sz w:val="28"/>
          <w:szCs w:val="28"/>
          <w:rFonts w:ascii="仿宋" w:eastAsia="仿宋" w:hAnsi="仿宋" w:hint="default"/>
        </w:rPr>
        <w:t>2018年3月16日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??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bordersDoNotSurroundFooter/>
  <w:compat w:val="0">
    <w:balanceSingleByteDoubleByteWidth/>
    <w:adjustLineHeightInTable/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rFonts w:ascii="Calibri" w:eastAsia="Calibri" w:hAnsi="Calibri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basedOn w:val="PO1"/>
    <w:next w:val="PO1"/>
    <w:link w:val="PO151"/>
    <w:qFormat/>
    <w:uiPriority w:val="7"/>
    <w:pPr>
      <w:autoSpaceDE w:val="1"/>
      <w:autoSpaceDN w:val="1"/>
      <w:widowControl/>
      <w:wordWrap/>
    </w:pPr>
    <w:rPr>
      <w:rFonts w:ascii="宋体" w:eastAsia="宋体" w:hAnsi="宋体"/>
      <w:b/>
      <w:shd w:val="clear"/>
      <w:sz w:val="48"/>
      <w:szCs w:val="4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customStyle="1" w:styleId="PO151" w:type="character">
    <w:name w:val="Heading 1 Char"/>
    <w:basedOn w:val="PO2"/>
    <w:link w:val="PO7"/>
    <w:uiPriority w:val="151"/>
    <w:rPr>
      <w:rFonts w:ascii="Calibri" w:eastAsia="Calibri" w:hAnsi="Calibri"/>
      <w:b/>
      <w:shd w:val="clear"/>
      <w:sz w:val="44"/>
      <w:szCs w:val="44"/>
      <w:w w:val="100"/>
    </w:rPr>
  </w:style>
  <w:style w:styleId="PO152" w:type="character">
    <w:name w:val="Hyperlink"/>
    <w:basedOn w:val="PO2"/>
    <w:uiPriority w:val="152"/>
    <w:rPr>
      <w:color w:val="0000FF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China</Company>
  <DocSecurity>0</DocSecurity>
  <HyperlinksChanged>false</HyperlinksChanged>
  <Lines>0</Lines>
  <LinksUpToDate>false</LinksUpToDate>
  <Pages>3</Pages>
  <Paragraphs>0</Paragraphs>
  <Words>162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lenovo</dc:creator>
  <cp:lastModifiedBy/>
  <dcterms:modified xsi:type="dcterms:W3CDTF">2018-02-03T01:22:00Z</dcterms:modified>
</cp:coreProperties>
</file>